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6B472" w14:textId="77777777" w:rsidR="00A2136B" w:rsidRDefault="00A2136B" w:rsidP="00DF2C73">
      <w:pPr>
        <w:rPr>
          <w:rFonts w:ascii="Times" w:eastAsia="Times New Roman" w:hAnsi="Times" w:cs="Times New Roman"/>
          <w:sz w:val="20"/>
          <w:szCs w:val="20"/>
        </w:rPr>
      </w:pPr>
      <w:bookmarkStart w:id="0" w:name="_GoBack"/>
      <w:bookmarkEnd w:id="0"/>
    </w:p>
    <w:p w14:paraId="7E054576" w14:textId="77777777" w:rsidR="00A2136B" w:rsidRDefault="00A2136B" w:rsidP="00DF2C73">
      <w:pPr>
        <w:rPr>
          <w:rFonts w:ascii="Times" w:eastAsia="Times New Roman" w:hAnsi="Times" w:cs="Times New Roman"/>
          <w:sz w:val="20"/>
          <w:szCs w:val="20"/>
        </w:rPr>
      </w:pPr>
    </w:p>
    <w:p w14:paraId="2B46CE15" w14:textId="77777777" w:rsidR="00A2136B" w:rsidRDefault="00A2136B" w:rsidP="00DF2C73">
      <w:pPr>
        <w:rPr>
          <w:rFonts w:ascii="Times" w:eastAsia="Times New Roman" w:hAnsi="Times" w:cs="Times New Roman"/>
          <w:sz w:val="20"/>
          <w:szCs w:val="20"/>
        </w:rPr>
      </w:pPr>
      <w:r>
        <w:rPr>
          <w:rFonts w:ascii="Times" w:eastAsia="Times New Roman" w:hAnsi="Times" w:cs="Times New Roman"/>
          <w:sz w:val="20"/>
          <w:szCs w:val="20"/>
        </w:rPr>
        <w:t>Code du sport</w:t>
      </w:r>
    </w:p>
    <w:p w14:paraId="565CCC2D" w14:textId="77777777" w:rsidR="00A2136B" w:rsidRDefault="00A2136B" w:rsidP="00DF2C73">
      <w:pPr>
        <w:rPr>
          <w:rFonts w:ascii="Times" w:eastAsia="Times New Roman" w:hAnsi="Times" w:cs="Times New Roman"/>
          <w:sz w:val="20"/>
          <w:szCs w:val="20"/>
        </w:rPr>
      </w:pPr>
    </w:p>
    <w:p w14:paraId="4111BE4D" w14:textId="77777777" w:rsidR="00A2136B" w:rsidRDefault="00A2136B" w:rsidP="00DF2C73">
      <w:pPr>
        <w:rPr>
          <w:rFonts w:ascii="Times" w:eastAsia="Times New Roman" w:hAnsi="Times" w:cs="Times New Roman"/>
          <w:sz w:val="20"/>
          <w:szCs w:val="20"/>
        </w:rPr>
      </w:pPr>
    </w:p>
    <w:p w14:paraId="60BE75A6" w14:textId="77777777" w:rsidR="00DF2C73" w:rsidRPr="00DF2C73" w:rsidRDefault="00DF2C73" w:rsidP="00DF2C73">
      <w:pPr>
        <w:rPr>
          <w:rFonts w:ascii="Times" w:eastAsia="Times New Roman" w:hAnsi="Times" w:cs="Times New Roman"/>
          <w:sz w:val="20"/>
          <w:szCs w:val="20"/>
        </w:rPr>
      </w:pPr>
      <w:r w:rsidRPr="00DF2C73">
        <w:rPr>
          <w:rFonts w:ascii="Times" w:eastAsia="Times New Roman" w:hAnsi="Times" w:cs="Times New Roman"/>
          <w:sz w:val="20"/>
          <w:szCs w:val="20"/>
        </w:rPr>
        <w:t xml:space="preserve">Article L131-16 </w:t>
      </w:r>
    </w:p>
    <w:p w14:paraId="05B44DCE" w14:textId="77777777" w:rsidR="00DF2C73" w:rsidRPr="00DF2C73" w:rsidRDefault="00DF2C73" w:rsidP="00DF2C73">
      <w:pPr>
        <w:rPr>
          <w:rFonts w:ascii="Times" w:eastAsia="Times New Roman" w:hAnsi="Times" w:cs="Times New Roman"/>
          <w:sz w:val="20"/>
          <w:szCs w:val="20"/>
        </w:rPr>
      </w:pPr>
      <w:r w:rsidRPr="00DF2C73">
        <w:rPr>
          <w:rFonts w:ascii="Times" w:eastAsia="Times New Roman" w:hAnsi="Times" w:cs="Times New Roman"/>
          <w:sz w:val="20"/>
          <w:szCs w:val="20"/>
        </w:rPr>
        <w:t xml:space="preserve">Modifié par </w:t>
      </w:r>
      <w:hyperlink r:id="rId6" w:history="1">
        <w:r w:rsidRPr="00DF2C73">
          <w:rPr>
            <w:rFonts w:ascii="Times" w:eastAsia="Times New Roman" w:hAnsi="Times" w:cs="Times New Roman"/>
            <w:color w:val="0000FF"/>
            <w:sz w:val="20"/>
            <w:szCs w:val="20"/>
            <w:u w:val="single"/>
          </w:rPr>
          <w:t>Décret n°2013-264 du 28 mars 2013 - art. 1</w:t>
        </w:r>
      </w:hyperlink>
      <w:r w:rsidRPr="00DF2C73">
        <w:rPr>
          <w:rFonts w:ascii="Times" w:eastAsia="Times New Roman" w:hAnsi="Times" w:cs="Times New Roman"/>
          <w:sz w:val="20"/>
          <w:szCs w:val="20"/>
        </w:rPr>
        <w:t xml:space="preserve"> </w:t>
      </w:r>
    </w:p>
    <w:p w14:paraId="71198BE9" w14:textId="77777777" w:rsidR="00DF2C73" w:rsidRDefault="00DF2C73" w:rsidP="00DF2C73">
      <w:pPr>
        <w:spacing w:before="100" w:beforeAutospacing="1" w:after="100" w:afterAutospacing="1"/>
        <w:rPr>
          <w:rFonts w:ascii="Times" w:eastAsia="Times New Roman" w:hAnsi="Times" w:cs="Times New Roman"/>
          <w:sz w:val="20"/>
          <w:szCs w:val="20"/>
        </w:rPr>
      </w:pPr>
    </w:p>
    <w:p w14:paraId="7C194CB2"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Les fédérations délégataires édictent : </w:t>
      </w:r>
    </w:p>
    <w:p w14:paraId="71A04DF5"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1° Les règles techniques propres à leur discipline ; </w:t>
      </w:r>
    </w:p>
    <w:p w14:paraId="2DDBB59A"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2° Les règlements relatifs à l'organisation de toute manifestation ouverte à leurs licenciés ; </w:t>
      </w:r>
    </w:p>
    <w:p w14:paraId="60D2A9B0"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3° Les règlements relatifs aux conditions juridiques, administratives et financières auxquelles doivent répondre les associations et sociétés sportives pour être admises à participer aux compétitions qu'elles organisent. Ils peuvent contenir des dispositions relatives au nombre minimal de sportifs formés localement dans les équipes participant à ces compétitions et au montant maximal, relatif ou absolu, de la somme des rémunérations versées aux sportifs par chaque société ou association sportive. </w:t>
      </w:r>
    </w:p>
    <w:p w14:paraId="0CC4AF7D"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Elles édictent également des règles ayant pour objet d'interdire aux acteurs des compétitions sportives : </w:t>
      </w:r>
    </w:p>
    <w:p w14:paraId="708D0D1F"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a) De réaliser des prestations de pronostics sportifs sur ces compétitions lorsque ces acteurs de la compétition sont contractuellement liés à un opérateur de paris sportifs titulaire de l'agrément prévu à </w:t>
      </w:r>
      <w:hyperlink r:id="rId7" w:history="1">
        <w:r w:rsidRPr="00DF2C73">
          <w:rPr>
            <w:rFonts w:ascii="Times" w:hAnsi="Times" w:cs="Times New Roman"/>
            <w:color w:val="0000FF"/>
            <w:sz w:val="20"/>
            <w:szCs w:val="20"/>
            <w:u w:val="single"/>
          </w:rPr>
          <w:t>l'article 21 de la loi n° 2010-476</w:t>
        </w:r>
      </w:hyperlink>
      <w:r w:rsidRPr="00DF2C73">
        <w:rPr>
          <w:rFonts w:ascii="Times" w:hAnsi="Times" w:cs="Times New Roman"/>
          <w:sz w:val="20"/>
          <w:szCs w:val="20"/>
        </w:rPr>
        <w:t xml:space="preserve"> du 12 mai 2010 relative à l'ouverture à la concurrence et à la régulation du secteur des jeux d'argent et de hasard en ligne ou lorsque ces prestations sont effectuées dans le cadre de programmes parrainés par un tel opérateur ; </w:t>
      </w:r>
    </w:p>
    <w:p w14:paraId="6E3D5FBC"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b) De détenir une participation au sein d'un opérateur de paris sportifs titulaire de l'agrément prévu au même article 21 qui propose des paris sur la discipline sportive concernée ; </w:t>
      </w:r>
    </w:p>
    <w:p w14:paraId="438EAAB4"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 xml:space="preserve">c) D'engager, directement ou par personne interposée, des mises sur des paris reposant sur la compétition à laquelle ils participent et de communiquer </w:t>
      </w:r>
      <w:proofErr w:type="gramStart"/>
      <w:r w:rsidRPr="00DF2C73">
        <w:rPr>
          <w:rFonts w:ascii="Times" w:hAnsi="Times" w:cs="Times New Roman"/>
          <w:sz w:val="20"/>
          <w:szCs w:val="20"/>
        </w:rPr>
        <w:t>à</w:t>
      </w:r>
      <w:proofErr w:type="gramEnd"/>
      <w:r w:rsidRPr="00DF2C73">
        <w:rPr>
          <w:rFonts w:ascii="Times" w:hAnsi="Times" w:cs="Times New Roman"/>
          <w:sz w:val="20"/>
          <w:szCs w:val="20"/>
        </w:rPr>
        <w:t xml:space="preserve"> des tiers des informations privilégiées, obtenues à l'occasion de leur profession ou de leurs fonctions, et qui sont inconnues du public. </w:t>
      </w:r>
    </w:p>
    <w:p w14:paraId="53379B86" w14:textId="77777777" w:rsidR="00DF2C73" w:rsidRPr="00DF2C73" w:rsidRDefault="00DF2C73" w:rsidP="00DF2C73">
      <w:pPr>
        <w:spacing w:before="100" w:beforeAutospacing="1" w:after="100" w:afterAutospacing="1"/>
        <w:rPr>
          <w:rFonts w:ascii="Times" w:hAnsi="Times" w:cs="Times New Roman"/>
          <w:sz w:val="20"/>
          <w:szCs w:val="20"/>
        </w:rPr>
      </w:pPr>
      <w:r w:rsidRPr="00DF2C73">
        <w:rPr>
          <w:rFonts w:ascii="Times" w:hAnsi="Times" w:cs="Times New Roman"/>
          <w:sz w:val="20"/>
          <w:szCs w:val="20"/>
        </w:rPr>
        <w:t>Un décret en Conseil d'Etat fixe les conditions d'entrée en vigueur des règlements fédéraux relatifs aux normes des équipements sportifs requises pour la participation aux compétitions sportives organisées par les fédérations délégataires.</w:t>
      </w:r>
    </w:p>
    <w:p w14:paraId="17563F3F" w14:textId="77777777" w:rsidR="00DF2C73" w:rsidRPr="00DF2C73" w:rsidRDefault="00DF2C73" w:rsidP="00DF2C73">
      <w:pPr>
        <w:rPr>
          <w:rFonts w:ascii="Times" w:eastAsia="Times New Roman" w:hAnsi="Times" w:cs="Times New Roman"/>
          <w:sz w:val="20"/>
          <w:szCs w:val="20"/>
        </w:rPr>
      </w:pPr>
      <w:r w:rsidRPr="00DF2C73">
        <w:rPr>
          <w:rFonts w:ascii="Times" w:eastAsia="Times New Roman" w:hAnsi="Times" w:cs="Times New Roman"/>
          <w:sz w:val="20"/>
          <w:szCs w:val="20"/>
        </w:rPr>
        <w:t xml:space="preserve">Article L131-16-1 </w:t>
      </w:r>
      <w:hyperlink r:id="rId8" w:tooltip="En savoir plus sur l'article L131-16-1" w:history="1">
        <w:r w:rsidRPr="00DF2C73">
          <w:rPr>
            <w:rFonts w:ascii="Times" w:eastAsia="Times New Roman" w:hAnsi="Times" w:cs="Times New Roman"/>
            <w:color w:val="0000FF"/>
            <w:sz w:val="20"/>
            <w:szCs w:val="20"/>
            <w:u w:val="single"/>
          </w:rPr>
          <w:t>En savoir plus sur cet article...</w:t>
        </w:r>
      </w:hyperlink>
      <w:r w:rsidRPr="00DF2C73">
        <w:rPr>
          <w:rFonts w:ascii="Times" w:eastAsia="Times New Roman" w:hAnsi="Times" w:cs="Times New Roman"/>
          <w:sz w:val="20"/>
          <w:szCs w:val="20"/>
        </w:rPr>
        <w:t xml:space="preserve"> </w:t>
      </w:r>
    </w:p>
    <w:p w14:paraId="62C50603" w14:textId="77777777" w:rsidR="00DF2C73" w:rsidRPr="00DF2C73" w:rsidRDefault="00DF2C73" w:rsidP="00DF2C73">
      <w:pPr>
        <w:rPr>
          <w:rFonts w:ascii="Times" w:eastAsia="Times New Roman" w:hAnsi="Times" w:cs="Times New Roman"/>
          <w:sz w:val="20"/>
          <w:szCs w:val="20"/>
        </w:rPr>
      </w:pPr>
      <w:r w:rsidRPr="00DF2C73">
        <w:rPr>
          <w:rFonts w:ascii="Times" w:eastAsia="Times New Roman" w:hAnsi="Times" w:cs="Times New Roman"/>
          <w:sz w:val="20"/>
          <w:szCs w:val="20"/>
        </w:rPr>
        <w:t xml:space="preserve">Créé par </w:t>
      </w:r>
      <w:hyperlink r:id="rId9" w:history="1">
        <w:r w:rsidRPr="00DF2C73">
          <w:rPr>
            <w:rFonts w:ascii="Times" w:eastAsia="Times New Roman" w:hAnsi="Times" w:cs="Times New Roman"/>
            <w:color w:val="0000FF"/>
            <w:sz w:val="20"/>
            <w:szCs w:val="20"/>
            <w:u w:val="single"/>
          </w:rPr>
          <w:t>LOI n°2012-158 du 1er février 2012 - art. 8</w:t>
        </w:r>
      </w:hyperlink>
      <w:r w:rsidRPr="00DF2C73">
        <w:rPr>
          <w:rFonts w:ascii="Times" w:eastAsia="Times New Roman" w:hAnsi="Times" w:cs="Times New Roman"/>
          <w:sz w:val="20"/>
          <w:szCs w:val="20"/>
        </w:rPr>
        <w:t xml:space="preserve"> </w:t>
      </w:r>
    </w:p>
    <w:p w14:paraId="3B848EC9" w14:textId="77777777" w:rsidR="00DF2C73" w:rsidRPr="00DF2C73" w:rsidRDefault="00DF2C73" w:rsidP="00DF2C73">
      <w:pPr>
        <w:rPr>
          <w:rFonts w:ascii="Times" w:eastAsia="Times New Roman" w:hAnsi="Times" w:cs="Times New Roman"/>
          <w:sz w:val="20"/>
          <w:szCs w:val="20"/>
        </w:rPr>
      </w:pPr>
      <w:r w:rsidRPr="00DF2C73">
        <w:rPr>
          <w:rFonts w:ascii="Times" w:eastAsia="Times New Roman" w:hAnsi="Times" w:cs="Times New Roman"/>
          <w:sz w:val="20"/>
          <w:szCs w:val="20"/>
        </w:rPr>
        <w:t>L'accès d'une fédération sportive délégataire, en vue de la mise en œuvre d'une éventuelle procédure disciplinaire contre un acteur d'une compétition sportive qui aurait parié sur celle-ci, à des informations personnelles relatives à des opérations de jeu enregistrées par un opérateur de jeux ou de paris en ligne titulaire de l'agrément prévu à l'</w:t>
      </w:r>
      <w:hyperlink r:id="rId10" w:history="1">
        <w:r w:rsidRPr="00DF2C73">
          <w:rPr>
            <w:rFonts w:ascii="Times" w:eastAsia="Times New Roman" w:hAnsi="Times" w:cs="Times New Roman"/>
            <w:color w:val="0000FF"/>
            <w:sz w:val="20"/>
            <w:szCs w:val="20"/>
            <w:u w:val="single"/>
          </w:rPr>
          <w:t>article 21 de la loi n° 2010-476 du 12 mai 2010 précitée</w:t>
        </w:r>
      </w:hyperlink>
      <w:r w:rsidRPr="00DF2C73">
        <w:rPr>
          <w:rFonts w:ascii="Times" w:eastAsia="Times New Roman" w:hAnsi="Times" w:cs="Times New Roman"/>
          <w:sz w:val="20"/>
          <w:szCs w:val="20"/>
        </w:rPr>
        <w:t xml:space="preserve"> s'effectue par demande adressée à l'Autorité de régulation des jeux en ligne.</w:t>
      </w:r>
      <w:r w:rsidRPr="00DF2C73">
        <w:rPr>
          <w:rFonts w:ascii="Times" w:eastAsia="Times New Roman" w:hAnsi="Times" w:cs="Times New Roman"/>
          <w:sz w:val="20"/>
          <w:szCs w:val="20"/>
        </w:rPr>
        <w:br/>
      </w:r>
      <w:r w:rsidRPr="00DF2C73">
        <w:rPr>
          <w:rFonts w:ascii="Times" w:eastAsia="Times New Roman" w:hAnsi="Times" w:cs="Times New Roman"/>
          <w:sz w:val="20"/>
          <w:szCs w:val="20"/>
        </w:rPr>
        <w:br/>
        <w:t xml:space="preserve">L'Autorité de régulation des jeux en ligne communique à des agents de la fédération délégataire spécialement habilités à cette fin dans des conditions prévues par décret les éléments strictement nécessaires, dans le respect des dispositions de la </w:t>
      </w:r>
      <w:hyperlink r:id="rId11" w:history="1">
        <w:r w:rsidRPr="00DF2C73">
          <w:rPr>
            <w:rFonts w:ascii="Times" w:eastAsia="Times New Roman" w:hAnsi="Times" w:cs="Times New Roman"/>
            <w:color w:val="0000FF"/>
            <w:sz w:val="20"/>
            <w:szCs w:val="20"/>
            <w:u w:val="single"/>
          </w:rPr>
          <w:t>loi n° 78-17 du 6 janvier 1978</w:t>
        </w:r>
      </w:hyperlink>
      <w:r w:rsidRPr="00DF2C73">
        <w:rPr>
          <w:rFonts w:ascii="Times" w:eastAsia="Times New Roman" w:hAnsi="Times" w:cs="Times New Roman"/>
          <w:sz w:val="20"/>
          <w:szCs w:val="20"/>
        </w:rPr>
        <w:t xml:space="preserve"> relative à l'informatique, aux fichiers et aux libertés.</w:t>
      </w:r>
    </w:p>
    <w:p w14:paraId="67668BDC" w14:textId="77777777" w:rsidR="00693BAE" w:rsidRDefault="00693BAE"/>
    <w:p w14:paraId="641064C4" w14:textId="77777777" w:rsidR="00B6638F" w:rsidRDefault="00B6638F"/>
    <w:p w14:paraId="63F697FB" w14:textId="77777777" w:rsidR="00B6638F" w:rsidRDefault="00B6638F"/>
    <w:p w14:paraId="06315DCA" w14:textId="77777777" w:rsidR="00B6638F" w:rsidRDefault="00B6638F"/>
    <w:p w14:paraId="2EE7CD8C" w14:textId="77777777" w:rsidR="00533762" w:rsidRDefault="00533762">
      <w:r>
        <w:lastRenderedPageBreak/>
        <w:t>Code pénal</w:t>
      </w:r>
    </w:p>
    <w:p w14:paraId="0DC5526C" w14:textId="77777777" w:rsidR="00533762" w:rsidRDefault="00533762"/>
    <w:p w14:paraId="65F7B58D" w14:textId="77777777" w:rsidR="00533762" w:rsidRPr="00533762" w:rsidRDefault="00533762" w:rsidP="00533762">
      <w:pPr>
        <w:rPr>
          <w:rFonts w:ascii="Times" w:eastAsia="Times New Roman" w:hAnsi="Times" w:cs="Times New Roman"/>
          <w:sz w:val="20"/>
          <w:szCs w:val="20"/>
        </w:rPr>
      </w:pPr>
      <w:r w:rsidRPr="00533762">
        <w:rPr>
          <w:rFonts w:ascii="Times" w:eastAsia="Times New Roman" w:hAnsi="Times" w:cs="Times New Roman"/>
          <w:sz w:val="20"/>
          <w:szCs w:val="20"/>
        </w:rPr>
        <w:t>Article 445-1</w:t>
      </w:r>
    </w:p>
    <w:p w14:paraId="6AFCC487" w14:textId="77777777" w:rsidR="00533762" w:rsidRPr="00533762" w:rsidRDefault="00533762" w:rsidP="00533762">
      <w:pPr>
        <w:numPr>
          <w:ilvl w:val="0"/>
          <w:numId w:val="1"/>
        </w:numPr>
        <w:spacing w:before="100" w:beforeAutospacing="1" w:after="100" w:afterAutospacing="1"/>
        <w:rPr>
          <w:rFonts w:ascii="Times" w:eastAsia="Times New Roman" w:hAnsi="Times" w:cs="Times New Roman"/>
          <w:sz w:val="20"/>
          <w:szCs w:val="20"/>
        </w:rPr>
      </w:pPr>
      <w:r w:rsidRPr="00533762">
        <w:rPr>
          <w:rFonts w:ascii="Times" w:eastAsia="Times New Roman" w:hAnsi="Times" w:cs="Times New Roman"/>
          <w:sz w:val="20"/>
          <w:szCs w:val="20"/>
        </w:rPr>
        <w:t xml:space="preserve">Modifié par </w:t>
      </w:r>
      <w:hyperlink r:id="rId12" w:anchor="LEGIARTI000024023392" w:history="1">
        <w:r w:rsidRPr="00533762">
          <w:rPr>
            <w:rFonts w:ascii="Times" w:eastAsia="Times New Roman" w:hAnsi="Times" w:cs="Times New Roman"/>
            <w:color w:val="0000FF"/>
            <w:sz w:val="20"/>
            <w:szCs w:val="20"/>
            <w:u w:val="single"/>
          </w:rPr>
          <w:t>LOI n°2011-525 du 17 mai 2011 - art. 154</w:t>
        </w:r>
      </w:hyperlink>
      <w:r w:rsidRPr="00533762">
        <w:rPr>
          <w:rFonts w:ascii="Times" w:eastAsia="Times New Roman" w:hAnsi="Times" w:cs="Times New Roman"/>
          <w:sz w:val="20"/>
          <w:szCs w:val="20"/>
        </w:rPr>
        <w:t xml:space="preserve"> </w:t>
      </w:r>
    </w:p>
    <w:p w14:paraId="7E0C54DE" w14:textId="77777777" w:rsidR="00533762" w:rsidRPr="00533762" w:rsidRDefault="00533762" w:rsidP="00533762">
      <w:pPr>
        <w:spacing w:before="100" w:beforeAutospacing="1" w:after="100" w:afterAutospacing="1"/>
        <w:rPr>
          <w:rFonts w:ascii="Times" w:hAnsi="Times" w:cs="Times New Roman"/>
          <w:sz w:val="20"/>
          <w:szCs w:val="20"/>
        </w:rPr>
      </w:pPr>
      <w:r w:rsidRPr="00533762">
        <w:rPr>
          <w:rFonts w:ascii="Times" w:hAnsi="Times" w:cs="Times New Roman"/>
          <w:sz w:val="20"/>
          <w:szCs w:val="20"/>
        </w:rPr>
        <w:t>Est puni de cinq ans d'emprisonnement et de 75 000 euros d'amende le fait, par quiconque, de proposer, sans droit, à tout moment, directement ou indirectement, à une personne qui, sans être dépositaire de l'autorité publique, ni chargée d'une mission de service public, ni investie d'un mandat électif public exerce, dans le cadre d'une activité professionnelle ou sociale, une fonction de direction ou un travail pour une personne physique ou morale ou pour un organisme quelconque, des offres, des promesses, des dons, des présents ou des avantages quelconques, pour elle-même ou pour autrui, pour qu'elle accomplisse ou s'abstienne d'accomplir, ou parce qu'elle a accompli ou s'est abstenue d'accomplir un acte de son activité ou de sa fonction ou facilité par son activité ou sa fonction, en violation de ses obligations légales, contractuelles ou professionnelles.</w:t>
      </w:r>
    </w:p>
    <w:p w14:paraId="3A20C328" w14:textId="77777777" w:rsidR="00533762" w:rsidRPr="00533762" w:rsidRDefault="00533762" w:rsidP="00533762">
      <w:pPr>
        <w:spacing w:before="100" w:beforeAutospacing="1" w:after="100" w:afterAutospacing="1"/>
        <w:rPr>
          <w:rFonts w:ascii="Times" w:hAnsi="Times" w:cs="Times New Roman"/>
          <w:sz w:val="20"/>
          <w:szCs w:val="20"/>
        </w:rPr>
      </w:pPr>
      <w:r w:rsidRPr="00533762">
        <w:rPr>
          <w:rFonts w:ascii="Times" w:hAnsi="Times" w:cs="Times New Roman"/>
          <w:sz w:val="20"/>
          <w:szCs w:val="20"/>
        </w:rPr>
        <w:t>Est puni des mêmes peines le fait, par quiconque, de céder à une personne visée au premier alinéa qui sollicite, sans droit, à tout moment, directement ou indirectement, des offres, des promesses, des dons, des présents ou des avantages quelconques, pour elle-même ou pour autrui, pour accomplir ou avoir accompli, pour s'abstenir ou s'être abstenue d'accomplir un acte visé audit alinéa, en violation de ses obligations légales, contractuelles ou professionnelles.</w:t>
      </w:r>
    </w:p>
    <w:p w14:paraId="15EBAEC6" w14:textId="77777777" w:rsidR="00533762" w:rsidRDefault="00533762"/>
    <w:sectPr w:rsidR="00533762" w:rsidSect="00E30B2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A22A0"/>
    <w:multiLevelType w:val="multilevel"/>
    <w:tmpl w:val="3AC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73"/>
    <w:rsid w:val="002240E4"/>
    <w:rsid w:val="005178E6"/>
    <w:rsid w:val="00533762"/>
    <w:rsid w:val="005465E7"/>
    <w:rsid w:val="00693BAE"/>
    <w:rsid w:val="00A2136B"/>
    <w:rsid w:val="00B6638F"/>
    <w:rsid w:val="00DF2C73"/>
    <w:rsid w:val="00E30B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0812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C73"/>
    <w:rPr>
      <w:color w:val="0000FF"/>
      <w:u w:val="single"/>
    </w:rPr>
  </w:style>
  <w:style w:type="paragraph" w:styleId="NormalWeb">
    <w:name w:val="Normal (Web)"/>
    <w:basedOn w:val="Normal"/>
    <w:uiPriority w:val="99"/>
    <w:semiHidden/>
    <w:unhideWhenUsed/>
    <w:rsid w:val="00DF2C7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6638F"/>
    <w:rPr>
      <w:rFonts w:ascii="Lucida Grande" w:hAnsi="Lucida Grande"/>
      <w:sz w:val="18"/>
      <w:szCs w:val="18"/>
    </w:rPr>
  </w:style>
  <w:style w:type="character" w:customStyle="1" w:styleId="BalloonTextChar">
    <w:name w:val="Balloon Text Char"/>
    <w:basedOn w:val="DefaultParagraphFont"/>
    <w:link w:val="BalloonText"/>
    <w:uiPriority w:val="99"/>
    <w:semiHidden/>
    <w:rsid w:val="00B6638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C73"/>
    <w:rPr>
      <w:color w:val="0000FF"/>
      <w:u w:val="single"/>
    </w:rPr>
  </w:style>
  <w:style w:type="paragraph" w:styleId="NormalWeb">
    <w:name w:val="Normal (Web)"/>
    <w:basedOn w:val="Normal"/>
    <w:uiPriority w:val="99"/>
    <w:semiHidden/>
    <w:unhideWhenUsed/>
    <w:rsid w:val="00DF2C7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6638F"/>
    <w:rPr>
      <w:rFonts w:ascii="Lucida Grande" w:hAnsi="Lucida Grande"/>
      <w:sz w:val="18"/>
      <w:szCs w:val="18"/>
    </w:rPr>
  </w:style>
  <w:style w:type="character" w:customStyle="1" w:styleId="BalloonTextChar">
    <w:name w:val="Balloon Text Char"/>
    <w:basedOn w:val="DefaultParagraphFont"/>
    <w:link w:val="BalloonText"/>
    <w:uiPriority w:val="99"/>
    <w:semiHidden/>
    <w:rsid w:val="00B6638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0698">
      <w:bodyDiv w:val="1"/>
      <w:marLeft w:val="0"/>
      <w:marRight w:val="0"/>
      <w:marTop w:val="0"/>
      <w:marBottom w:val="0"/>
      <w:divBdr>
        <w:top w:val="none" w:sz="0" w:space="0" w:color="auto"/>
        <w:left w:val="none" w:sz="0" w:space="0" w:color="auto"/>
        <w:bottom w:val="none" w:sz="0" w:space="0" w:color="auto"/>
        <w:right w:val="none" w:sz="0" w:space="0" w:color="auto"/>
      </w:divBdr>
      <w:divsChild>
        <w:div w:id="2127236943">
          <w:marLeft w:val="0"/>
          <w:marRight w:val="0"/>
          <w:marTop w:val="0"/>
          <w:marBottom w:val="0"/>
          <w:divBdr>
            <w:top w:val="none" w:sz="0" w:space="0" w:color="auto"/>
            <w:left w:val="none" w:sz="0" w:space="0" w:color="auto"/>
            <w:bottom w:val="none" w:sz="0" w:space="0" w:color="auto"/>
            <w:right w:val="none" w:sz="0" w:space="0" w:color="auto"/>
          </w:divBdr>
        </w:div>
        <w:div w:id="747574146">
          <w:marLeft w:val="0"/>
          <w:marRight w:val="0"/>
          <w:marTop w:val="0"/>
          <w:marBottom w:val="0"/>
          <w:divBdr>
            <w:top w:val="none" w:sz="0" w:space="0" w:color="auto"/>
            <w:left w:val="none" w:sz="0" w:space="0" w:color="auto"/>
            <w:bottom w:val="none" w:sz="0" w:space="0" w:color="auto"/>
            <w:right w:val="none" w:sz="0" w:space="0" w:color="auto"/>
          </w:divBdr>
        </w:div>
        <w:div w:id="2105108057">
          <w:marLeft w:val="0"/>
          <w:marRight w:val="0"/>
          <w:marTop w:val="0"/>
          <w:marBottom w:val="0"/>
          <w:divBdr>
            <w:top w:val="none" w:sz="0" w:space="0" w:color="auto"/>
            <w:left w:val="none" w:sz="0" w:space="0" w:color="auto"/>
            <w:bottom w:val="none" w:sz="0" w:space="0" w:color="auto"/>
            <w:right w:val="none" w:sz="0" w:space="0" w:color="auto"/>
          </w:divBdr>
        </w:div>
      </w:divsChild>
    </w:div>
    <w:div w:id="304437979">
      <w:bodyDiv w:val="1"/>
      <w:marLeft w:val="0"/>
      <w:marRight w:val="0"/>
      <w:marTop w:val="0"/>
      <w:marBottom w:val="0"/>
      <w:divBdr>
        <w:top w:val="none" w:sz="0" w:space="0" w:color="auto"/>
        <w:left w:val="none" w:sz="0" w:space="0" w:color="auto"/>
        <w:bottom w:val="none" w:sz="0" w:space="0" w:color="auto"/>
        <w:right w:val="none" w:sz="0" w:space="0" w:color="auto"/>
      </w:divBdr>
      <w:divsChild>
        <w:div w:id="1501197154">
          <w:marLeft w:val="0"/>
          <w:marRight w:val="0"/>
          <w:marTop w:val="0"/>
          <w:marBottom w:val="0"/>
          <w:divBdr>
            <w:top w:val="none" w:sz="0" w:space="0" w:color="auto"/>
            <w:left w:val="none" w:sz="0" w:space="0" w:color="auto"/>
            <w:bottom w:val="none" w:sz="0" w:space="0" w:color="auto"/>
            <w:right w:val="none" w:sz="0" w:space="0" w:color="auto"/>
          </w:divBdr>
          <w:divsChild>
            <w:div w:id="1032880095">
              <w:marLeft w:val="0"/>
              <w:marRight w:val="0"/>
              <w:marTop w:val="0"/>
              <w:marBottom w:val="0"/>
              <w:divBdr>
                <w:top w:val="none" w:sz="0" w:space="0" w:color="auto"/>
                <w:left w:val="none" w:sz="0" w:space="0" w:color="auto"/>
                <w:bottom w:val="none" w:sz="0" w:space="0" w:color="auto"/>
                <w:right w:val="none" w:sz="0" w:space="0" w:color="auto"/>
              </w:divBdr>
            </w:div>
            <w:div w:id="1089697009">
              <w:marLeft w:val="0"/>
              <w:marRight w:val="0"/>
              <w:marTop w:val="0"/>
              <w:marBottom w:val="0"/>
              <w:divBdr>
                <w:top w:val="none" w:sz="0" w:space="0" w:color="auto"/>
                <w:left w:val="none" w:sz="0" w:space="0" w:color="auto"/>
                <w:bottom w:val="none" w:sz="0" w:space="0" w:color="auto"/>
                <w:right w:val="none" w:sz="0" w:space="0" w:color="auto"/>
              </w:divBdr>
            </w:div>
            <w:div w:id="18008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09962">
      <w:bodyDiv w:val="1"/>
      <w:marLeft w:val="0"/>
      <w:marRight w:val="0"/>
      <w:marTop w:val="0"/>
      <w:marBottom w:val="0"/>
      <w:divBdr>
        <w:top w:val="none" w:sz="0" w:space="0" w:color="auto"/>
        <w:left w:val="none" w:sz="0" w:space="0" w:color="auto"/>
        <w:bottom w:val="none" w:sz="0" w:space="0" w:color="auto"/>
        <w:right w:val="none" w:sz="0" w:space="0" w:color="auto"/>
      </w:divBdr>
      <w:divsChild>
        <w:div w:id="858860117">
          <w:marLeft w:val="0"/>
          <w:marRight w:val="0"/>
          <w:marTop w:val="0"/>
          <w:marBottom w:val="0"/>
          <w:divBdr>
            <w:top w:val="none" w:sz="0" w:space="0" w:color="auto"/>
            <w:left w:val="none" w:sz="0" w:space="0" w:color="auto"/>
            <w:bottom w:val="none" w:sz="0" w:space="0" w:color="auto"/>
            <w:right w:val="none" w:sz="0" w:space="0" w:color="auto"/>
          </w:divBdr>
          <w:divsChild>
            <w:div w:id="8888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6667">
      <w:bodyDiv w:val="1"/>
      <w:marLeft w:val="0"/>
      <w:marRight w:val="0"/>
      <w:marTop w:val="0"/>
      <w:marBottom w:val="0"/>
      <w:divBdr>
        <w:top w:val="none" w:sz="0" w:space="0" w:color="auto"/>
        <w:left w:val="none" w:sz="0" w:space="0" w:color="auto"/>
        <w:bottom w:val="none" w:sz="0" w:space="0" w:color="auto"/>
        <w:right w:val="none" w:sz="0" w:space="0" w:color="auto"/>
      </w:divBdr>
      <w:divsChild>
        <w:div w:id="1850411450">
          <w:marLeft w:val="0"/>
          <w:marRight w:val="0"/>
          <w:marTop w:val="0"/>
          <w:marBottom w:val="0"/>
          <w:divBdr>
            <w:top w:val="none" w:sz="0" w:space="0" w:color="auto"/>
            <w:left w:val="none" w:sz="0" w:space="0" w:color="auto"/>
            <w:bottom w:val="none" w:sz="0" w:space="0" w:color="auto"/>
            <w:right w:val="none" w:sz="0" w:space="0" w:color="auto"/>
          </w:divBdr>
          <w:divsChild>
            <w:div w:id="1236284097">
              <w:marLeft w:val="0"/>
              <w:marRight w:val="0"/>
              <w:marTop w:val="0"/>
              <w:marBottom w:val="0"/>
              <w:divBdr>
                <w:top w:val="none" w:sz="0" w:space="0" w:color="auto"/>
                <w:left w:val="none" w:sz="0" w:space="0" w:color="auto"/>
                <w:bottom w:val="none" w:sz="0" w:space="0" w:color="auto"/>
                <w:right w:val="none" w:sz="0" w:space="0" w:color="auto"/>
              </w:divBdr>
            </w:div>
            <w:div w:id="5442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5896">
      <w:bodyDiv w:val="1"/>
      <w:marLeft w:val="0"/>
      <w:marRight w:val="0"/>
      <w:marTop w:val="0"/>
      <w:marBottom w:val="0"/>
      <w:divBdr>
        <w:top w:val="none" w:sz="0" w:space="0" w:color="auto"/>
        <w:left w:val="none" w:sz="0" w:space="0" w:color="auto"/>
        <w:bottom w:val="none" w:sz="0" w:space="0" w:color="auto"/>
        <w:right w:val="none" w:sz="0" w:space="0" w:color="auto"/>
      </w:divBdr>
      <w:divsChild>
        <w:div w:id="378015026">
          <w:marLeft w:val="0"/>
          <w:marRight w:val="0"/>
          <w:marTop w:val="0"/>
          <w:marBottom w:val="0"/>
          <w:divBdr>
            <w:top w:val="none" w:sz="0" w:space="0" w:color="auto"/>
            <w:left w:val="none" w:sz="0" w:space="0" w:color="auto"/>
            <w:bottom w:val="none" w:sz="0" w:space="0" w:color="auto"/>
            <w:right w:val="none" w:sz="0" w:space="0" w:color="auto"/>
          </w:divBdr>
        </w:div>
        <w:div w:id="11075837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gifrance.gouv.fr/affichTexte.do?cidTexte=JORFTEXT000000886460&amp;categorieLien=cid" TargetMode="External"/><Relationship Id="rId12" Type="http://schemas.openxmlformats.org/officeDocument/2006/relationships/hyperlink" Target="http://www.legifrance.gouv.fr/affichTexteArticle.do;jsessionid=20DE3EDF37C41CE3FE8581A625F2DE97.tpdjo06v_2?cidTexte=JORFTEXT000024021430&amp;idArticle=LEGIARTI000024023392&amp;dateTexte=20130621&amp;categorieLien=id"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gifrance.gouv.fr/affichTexteArticle.do;jsessionid=70823D0DD26160C1477FD552526A8D4F.tpdjo06v_2?cidTexte=JORFTEXT000027243493&amp;idArticle=LEGIARTI000027244861&amp;dateTexte=20130330" TargetMode="External"/><Relationship Id="rId7" Type="http://schemas.openxmlformats.org/officeDocument/2006/relationships/hyperlink" Target="http://www.legifrance.gouv.fr/affichTexteArticle.do?cidTexte=JORFTEXT000022204510&amp;idArticle=JORFARTI000022204556&amp;categorieLien=cid" TargetMode="External"/><Relationship Id="rId8" Type="http://schemas.openxmlformats.org/officeDocument/2006/relationships/hyperlink" Target="http://www.legifrance.gouv.fr/affichCodeArticle.do;jsessionid=70823D0DD26160C1477FD552526A8D4F.tpdjo06v_2?idArticle=LEGIARTI000025272136&amp;cidTexte=LEGITEXT000006071318&amp;dateTexte=20130621" TargetMode="External"/><Relationship Id="rId9" Type="http://schemas.openxmlformats.org/officeDocument/2006/relationships/hyperlink" Target="http://www.legifrance.gouv.fr/affichTexteArticle.do;jsessionid=70823D0DD26160C1477FD552526A8D4F.tpdjo06v_2?cidTexte=JORFTEXT000025269948&amp;idArticle=LEGIARTI000025271863&amp;dateTexte=20120202" TargetMode="External"/><Relationship Id="rId10" Type="http://schemas.openxmlformats.org/officeDocument/2006/relationships/hyperlink" Target="http://www.legifrance.gouv.fr/affichTexteArticle.do?cidTexte=JORFTEXT000022204510&amp;idArticle=JORFARTI000022204556&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4874</Characters>
  <Application>Microsoft Macintosh Word</Application>
  <DocSecurity>0</DocSecurity>
  <Lines>40</Lines>
  <Paragraphs>11</Paragraphs>
  <ScaleCrop>false</ScaleCrop>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reymond jefff</dc:creator>
  <cp:keywords/>
  <dc:description/>
  <cp:lastModifiedBy>reymond jefff</cp:lastModifiedBy>
  <cp:revision>2</cp:revision>
  <dcterms:created xsi:type="dcterms:W3CDTF">2013-06-21T14:01:00Z</dcterms:created>
  <dcterms:modified xsi:type="dcterms:W3CDTF">2013-06-21T14:01:00Z</dcterms:modified>
</cp:coreProperties>
</file>