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5A66" w14:textId="2A7DE0D2" w:rsidR="005C4053" w:rsidRPr="000816AC" w:rsidRDefault="00690967" w:rsidP="0026787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EXTRACTS FROM </w:t>
      </w:r>
      <w:r w:rsidR="005C4053" w:rsidRPr="000816AC">
        <w:rPr>
          <w:rFonts w:ascii="Calibri" w:hAnsi="Calibri"/>
        </w:rPr>
        <w:t xml:space="preserve">RFU REGULATION </w:t>
      </w:r>
      <w:r w:rsidR="00436184" w:rsidRPr="000816AC">
        <w:rPr>
          <w:rFonts w:ascii="Calibri" w:hAnsi="Calibri"/>
        </w:rPr>
        <w:t>17</w:t>
      </w:r>
      <w:r w:rsidR="005C4053" w:rsidRPr="000816AC">
        <w:rPr>
          <w:rFonts w:ascii="Calibri" w:hAnsi="Calibri"/>
        </w:rPr>
        <w:t xml:space="preserve"> - ANTI-CORRUPTION AND BETTING</w:t>
      </w:r>
    </w:p>
    <w:p w14:paraId="67ABD337" w14:textId="77777777" w:rsidR="008F048A" w:rsidRPr="008F048A" w:rsidRDefault="008F048A" w:rsidP="008F048A">
      <w:pPr>
        <w:jc w:val="both"/>
        <w:rPr>
          <w:rFonts w:ascii="Calibri" w:hAnsi="Calibri"/>
          <w:sz w:val="22"/>
          <w:szCs w:val="22"/>
        </w:rPr>
      </w:pPr>
      <w:r w:rsidRPr="008F048A">
        <w:rPr>
          <w:rFonts w:ascii="Calibri" w:hAnsi="Calibri" w:cs="Times New Roman"/>
          <w:color w:val="231F20"/>
          <w:sz w:val="22"/>
          <w:szCs w:val="22"/>
          <w:lang w:val="en-US"/>
        </w:rPr>
        <w:t>To read full RFU regulation on betting, see http://www.rfu.com/thegame/regulations</w:t>
      </w:r>
    </w:p>
    <w:p w14:paraId="54B9C1A3" w14:textId="77777777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75466819" w14:textId="77777777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lang w:val="en-US"/>
        </w:rPr>
      </w:pPr>
      <w:r w:rsidRPr="000816AC">
        <w:rPr>
          <w:rFonts w:ascii="Calibri" w:hAnsi="Calibri" w:cs="Times New Roman"/>
          <w:color w:val="000000"/>
          <w:lang w:val="en-US"/>
        </w:rPr>
        <w:t>17.2 Definitions</w:t>
      </w:r>
    </w:p>
    <w:p w14:paraId="291477C7" w14:textId="77777777" w:rsidR="004D22FA" w:rsidRPr="000816AC" w:rsidRDefault="004D22FA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1143C7F7" w14:textId="7777777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FD2C58">
        <w:rPr>
          <w:rFonts w:ascii="Calibri" w:hAnsi="Calibri" w:cs="Times New Roman"/>
          <w:b/>
          <w:color w:val="231F20"/>
          <w:lang w:val="en-US"/>
        </w:rPr>
        <w:t>Anti-Corruption Breach</w:t>
      </w:r>
      <w:r w:rsidRPr="000816AC">
        <w:rPr>
          <w:rFonts w:ascii="Calibri" w:hAnsi="Calibri" w:cs="Times New Roman"/>
          <w:color w:val="231F20"/>
          <w:lang w:val="en-US"/>
        </w:rPr>
        <w:t xml:space="preserve"> Any breach of RFU Regulation 17 and/or IRB Regulation 6. For the avoidance of doubt an Anti-Corruption Breach shall also constitute misconduct.</w:t>
      </w:r>
    </w:p>
    <w:p w14:paraId="3A2E783D" w14:textId="77777777" w:rsidR="007411CD" w:rsidRPr="000816AC" w:rsidRDefault="007411CD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23C79447" w14:textId="77777777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FD2C58">
        <w:rPr>
          <w:rFonts w:ascii="Calibri" w:hAnsi="Calibri" w:cs="Times New Roman"/>
          <w:b/>
          <w:color w:val="231F20"/>
          <w:lang w:val="en-US"/>
        </w:rPr>
        <w:t>Connected Person</w:t>
      </w:r>
      <w:r w:rsidRPr="000816AC">
        <w:rPr>
          <w:rFonts w:ascii="Calibri" w:hAnsi="Calibri" w:cs="Times New Roman"/>
          <w:color w:val="231F20"/>
          <w:lang w:val="en-US"/>
        </w:rPr>
        <w:t xml:space="preserve"> Any International Player, Contract Player, International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Match Official, Contract Player Support Personnel, any coach, trainer, selector,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health professional, analyst, team official, administrator, owner, director and/or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any other person involved with and/or engaged in relation to the Game by a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Union or its National Representative Team and shall include any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Union/Association/IRB panel of Match Officials at International Match and/or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Contract Player level, Disciplinary Personnel, any Agent and/or representative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of an International Player, Contract Player or Contract Player Support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Personnel and/or family member and/or associate of any of the foregoing (to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the extent that such family member/associate falls under the jurisdiction of a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Union, Rugby Body and/or the Board) and/or any other individual or entity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 xml:space="preserve">involved in the </w:t>
      </w:r>
      <w:proofErr w:type="spellStart"/>
      <w:r w:rsidRPr="000816AC">
        <w:rPr>
          <w:rFonts w:ascii="Calibri" w:hAnsi="Calibri" w:cs="Times New Roman"/>
          <w:color w:val="231F20"/>
          <w:lang w:val="en-US"/>
        </w:rPr>
        <w:t>organisation</w:t>
      </w:r>
      <w:proofErr w:type="spellEnd"/>
      <w:r w:rsidRPr="000816AC">
        <w:rPr>
          <w:rFonts w:ascii="Calibri" w:hAnsi="Calibri" w:cs="Times New Roman"/>
          <w:color w:val="231F20"/>
          <w:lang w:val="en-US"/>
        </w:rPr>
        <w:t>, administration and/or promotion of the Game at</w:t>
      </w:r>
      <w:r w:rsidR="007411CD" w:rsidRPr="000816AC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International Match and/or Contract Player level.</w:t>
      </w:r>
    </w:p>
    <w:p w14:paraId="4C67F4F0" w14:textId="77777777" w:rsidR="007411CD" w:rsidRPr="000816AC" w:rsidRDefault="007411CD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098FD532" w14:textId="1C3CD05F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b/>
          <w:color w:val="231F20"/>
          <w:lang w:val="en-US"/>
        </w:rPr>
        <w:t>Fix</w:t>
      </w:r>
      <w:r w:rsidRPr="000816AC">
        <w:rPr>
          <w:rFonts w:ascii="Calibri" w:hAnsi="Calibri" w:cs="Times New Roman"/>
          <w:color w:val="231F20"/>
          <w:lang w:val="en-US"/>
        </w:rPr>
        <w:t xml:space="preserve"> Fixing, contriving in any way and/or otherwise influencing improperly the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outcome of an Event and/or any aspect of an Event and/or being party to any effort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to fix, contrive in any way and/or otherwise influence improperly the outcome or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any aspect of an Event. The foregoing shall include, without limitation,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improperly ensuring that a particular incident(s) takes place or does not take place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during an Event(s) or at a particular time or juncture during an Event(s) and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improperly manipulating the scoring or any other aspect of an Event(s).</w:t>
      </w:r>
    </w:p>
    <w:p w14:paraId="6DF2A1EC" w14:textId="77777777" w:rsidR="007411CD" w:rsidRPr="00267871" w:rsidRDefault="007411CD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/>
          <w:color w:val="231F20"/>
          <w:lang w:val="en-US"/>
        </w:rPr>
      </w:pPr>
    </w:p>
    <w:p w14:paraId="70CB44E0" w14:textId="3A8E45BF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b/>
          <w:color w:val="231F20"/>
          <w:lang w:val="en-US"/>
        </w:rPr>
        <w:t>Inside Information</w:t>
      </w:r>
      <w:r w:rsidRPr="000816AC">
        <w:rPr>
          <w:rFonts w:ascii="Calibri" w:hAnsi="Calibri" w:cs="Times New Roman"/>
          <w:color w:val="231F20"/>
          <w:lang w:val="en-US"/>
        </w:rPr>
        <w:t xml:space="preserve"> Any non-public information relating to any Event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including any aspect thereof that a Connected Person possesses by virtue of his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position within the Game. Such information includes, but is not limited to,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relevant information regarding a Participant(s), conditions, tactic(s) and/or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proofErr w:type="gramStart"/>
      <w:r w:rsidRPr="000816AC">
        <w:rPr>
          <w:rFonts w:ascii="Calibri" w:hAnsi="Calibri" w:cs="Times New Roman"/>
          <w:color w:val="231F20"/>
          <w:lang w:val="en-US"/>
        </w:rPr>
        <w:t>strategy(</w:t>
      </w:r>
      <w:proofErr w:type="spellStart"/>
      <w:proofErr w:type="gramEnd"/>
      <w:r w:rsidRPr="000816AC">
        <w:rPr>
          <w:rFonts w:ascii="Calibri" w:hAnsi="Calibri" w:cs="Times New Roman"/>
          <w:color w:val="231F20"/>
          <w:lang w:val="en-US"/>
        </w:rPr>
        <w:t>ies</w:t>
      </w:r>
      <w:proofErr w:type="spellEnd"/>
      <w:r w:rsidRPr="000816AC">
        <w:rPr>
          <w:rFonts w:ascii="Calibri" w:hAnsi="Calibri" w:cs="Times New Roman"/>
          <w:color w:val="231F20"/>
          <w:lang w:val="en-US"/>
        </w:rPr>
        <w:t>), selection, injury(</w:t>
      </w:r>
      <w:proofErr w:type="spellStart"/>
      <w:r w:rsidRPr="000816AC">
        <w:rPr>
          <w:rFonts w:ascii="Calibri" w:hAnsi="Calibri" w:cs="Times New Roman"/>
          <w:color w:val="231F20"/>
          <w:lang w:val="en-US"/>
        </w:rPr>
        <w:t>ies</w:t>
      </w:r>
      <w:proofErr w:type="spellEnd"/>
      <w:r w:rsidRPr="000816AC">
        <w:rPr>
          <w:rFonts w:ascii="Calibri" w:hAnsi="Calibri" w:cs="Times New Roman"/>
          <w:color w:val="231F20"/>
          <w:lang w:val="en-US"/>
        </w:rPr>
        <w:t>), and/or any other information relating to the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likely performance of a Participant(s) and/or outcome of an Event including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any aspect thereof, and/or any other relevant information in relation to an Event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which is known by a Connected Person(s) but which is not already published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or a matter of public record, which is not readily acquired by an interested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member of the public and/or disclosed according to the rules and regulations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governing the Event.</w:t>
      </w:r>
    </w:p>
    <w:p w14:paraId="411E4B92" w14:textId="77777777" w:rsidR="007411CD" w:rsidRPr="000816AC" w:rsidRDefault="007411CD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13676934" w14:textId="1DCD4FBD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b/>
          <w:color w:val="231F20"/>
          <w:lang w:val="en-US"/>
        </w:rPr>
        <w:t>Participant</w:t>
      </w:r>
      <w:r w:rsidRPr="000816AC">
        <w:rPr>
          <w:rFonts w:ascii="Calibri" w:hAnsi="Calibri" w:cs="Times New Roman"/>
          <w:color w:val="231F20"/>
          <w:lang w:val="en-US"/>
        </w:rPr>
        <w:t xml:space="preserve"> A Player, Match Official, Union, National Representative Team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and/or team involved in an Event(s).</w:t>
      </w:r>
    </w:p>
    <w:p w14:paraId="013BB19B" w14:textId="77777777" w:rsidR="007411CD" w:rsidRPr="00267871" w:rsidRDefault="007411CD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/>
          <w:color w:val="231F20"/>
          <w:lang w:val="en-US"/>
        </w:rPr>
      </w:pPr>
    </w:p>
    <w:p w14:paraId="596A2CAC" w14:textId="4C56DF63" w:rsidR="00436184" w:rsidRPr="000816AC" w:rsidRDefault="00436184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b/>
          <w:color w:val="231F20"/>
          <w:lang w:val="en-US"/>
        </w:rPr>
        <w:t>Wager</w:t>
      </w:r>
      <w:r w:rsidRPr="000816AC">
        <w:rPr>
          <w:rFonts w:ascii="Calibri" w:hAnsi="Calibri" w:cs="Times New Roman"/>
          <w:color w:val="231F20"/>
          <w:lang w:val="en-US"/>
        </w:rPr>
        <w:t xml:space="preserve"> Placing, accepting, laying and/or otherwise entering into any form of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wager, bet and/or financial speculation. The foregoing shall include, without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limitation, a wager, bet and/or financial speculation on a number of events or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 xml:space="preserve">occurrences (for </w:t>
      </w:r>
      <w:r w:rsidRPr="000816AC">
        <w:rPr>
          <w:rFonts w:ascii="Calibri" w:hAnsi="Calibri" w:cs="Times New Roman"/>
          <w:color w:val="231F20"/>
          <w:lang w:val="en-US"/>
        </w:rPr>
        <w:lastRenderedPageBreak/>
        <w:t>example, a multi-bet). A Prohibited Wager shall be any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conduct in contravention of Regulation 17.3.1.</w:t>
      </w:r>
    </w:p>
    <w:p w14:paraId="5940A89C" w14:textId="77777777" w:rsidR="007411CD" w:rsidRPr="000816AC" w:rsidRDefault="007411CD" w:rsidP="00267871">
      <w:pPr>
        <w:jc w:val="both"/>
        <w:rPr>
          <w:rFonts w:ascii="Calibri" w:hAnsi="Calibri" w:cs="Times New Roman"/>
          <w:color w:val="231F20"/>
          <w:lang w:val="en-US"/>
        </w:rPr>
      </w:pPr>
    </w:p>
    <w:p w14:paraId="2091589E" w14:textId="77777777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17.3.1 Prohibited Wagering</w:t>
      </w:r>
    </w:p>
    <w:p w14:paraId="0301671D" w14:textId="77777777" w:rsidR="005D5B0A" w:rsidRPr="000816AC" w:rsidRDefault="005D5B0A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67DD8279" w14:textId="77777777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All Connected Persons</w:t>
      </w:r>
    </w:p>
    <w:p w14:paraId="1A024DFB" w14:textId="0EA7705A" w:rsidR="000816AC" w:rsidRPr="00267871" w:rsidRDefault="000816AC" w:rsidP="0026787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color w:val="231F20"/>
          <w:lang w:val="en-US"/>
        </w:rPr>
        <w:t>No Connected Person shall, directly or indirectly, Wager and/or Attempt to</w:t>
      </w:r>
      <w:r w:rsidR="005D5B0A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Wager on the outcome or any aspect of any Connected Event and/or receive</w:t>
      </w:r>
      <w:r w:rsidR="005D5B0A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and/or Attempt to receive part or all of the proceeds of any such Wager</w:t>
      </w:r>
      <w:r w:rsidR="005D5B0A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and/or any other Benefit in relation to a Wager, subject to 17.3.8 below.</w:t>
      </w:r>
    </w:p>
    <w:p w14:paraId="3265145D" w14:textId="066717E2" w:rsidR="00267871" w:rsidRDefault="000816AC" w:rsidP="0026787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color w:val="231F20"/>
          <w:lang w:val="en-US"/>
        </w:rPr>
        <w:t>No Connected Person shall and/or shall Attempt, directly or indirectly, to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solicit, offer, induce, entice, instruct, persuade, encourage, agree with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and/or facilitate any other party to Wager and/or Attempt to Wager on the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outcome or any aspect of any Connected Event, subject to 17.3.8 below.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</w:p>
    <w:p w14:paraId="2C9D5140" w14:textId="77777777" w:rsidR="00267871" w:rsidRPr="00267871" w:rsidRDefault="00267871" w:rsidP="0026787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032FEBCD" w14:textId="6ACAF006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color w:val="231F20"/>
          <w:lang w:val="en-US"/>
        </w:rPr>
        <w:t>Contract Player(s) and Contract Player Support Personnel</w:t>
      </w:r>
    </w:p>
    <w:p w14:paraId="1136C4B7" w14:textId="77777777" w:rsidR="00267871" w:rsidRPr="00267871" w:rsidRDefault="00267871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70F1D4F4" w14:textId="6D1E6FB6" w:rsidR="000816AC" w:rsidRPr="00267871" w:rsidRDefault="000816AC" w:rsidP="002678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267871">
        <w:rPr>
          <w:rFonts w:ascii="Calibri" w:hAnsi="Calibri" w:cs="Times New Roman"/>
          <w:color w:val="231F20"/>
          <w:lang w:val="en-US"/>
        </w:rPr>
        <w:t>No Contract Player or Contract Player Support Personnel shall, directly or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indirectly, Wager and/or Attempt to Wager on the outcome and/or any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aspect of any Event and/or receive and/or Attempt to receive part or all of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the proceeds of any such Wager and/or any other Benefit in relation to a</w:t>
      </w:r>
      <w:r w:rsidR="00267871" w:rsidRPr="00267871">
        <w:rPr>
          <w:rFonts w:ascii="Calibri" w:hAnsi="Calibri" w:cs="Times New Roman"/>
          <w:color w:val="231F20"/>
          <w:lang w:val="en-US"/>
        </w:rPr>
        <w:t xml:space="preserve"> </w:t>
      </w:r>
      <w:r w:rsidRPr="00267871">
        <w:rPr>
          <w:rFonts w:ascii="Calibri" w:hAnsi="Calibri" w:cs="Times New Roman"/>
          <w:color w:val="231F20"/>
          <w:lang w:val="en-US"/>
        </w:rPr>
        <w:t>Wager, subject to 17.3.8 below.</w:t>
      </w:r>
    </w:p>
    <w:p w14:paraId="1D3DD789" w14:textId="39335AA8" w:rsidR="000816AC" w:rsidRDefault="00267871" w:rsidP="00267871">
      <w:pPr>
        <w:widowControl w:val="0"/>
        <w:autoSpaceDE w:val="0"/>
        <w:autoSpaceDN w:val="0"/>
        <w:adjustRightInd w:val="0"/>
        <w:ind w:firstLine="360"/>
        <w:jc w:val="both"/>
        <w:rPr>
          <w:rFonts w:ascii="Calibri" w:hAnsi="Calibri" w:cs="Times New Roman"/>
          <w:color w:val="231F20"/>
          <w:lang w:val="en-US"/>
        </w:rPr>
      </w:pPr>
      <w:r>
        <w:rPr>
          <w:rFonts w:ascii="Calibri" w:hAnsi="Calibri" w:cs="Times New Roman"/>
          <w:color w:val="231F20"/>
          <w:lang w:val="en-US"/>
        </w:rPr>
        <w:t>(b</w:t>
      </w:r>
      <w:r w:rsidR="000816AC" w:rsidRPr="000816AC">
        <w:rPr>
          <w:rFonts w:ascii="Calibri" w:hAnsi="Calibri" w:cs="Times New Roman"/>
          <w:color w:val="231F20"/>
          <w:lang w:val="en-US"/>
        </w:rPr>
        <w:t>) No Contract Player or Contract Player Support Personnel shall and/or</w:t>
      </w:r>
      <w:r>
        <w:rPr>
          <w:rFonts w:ascii="Calibri" w:hAnsi="Calibri" w:cs="Times New Roman"/>
          <w:color w:val="231F20"/>
          <w:lang w:val="en-US"/>
        </w:rPr>
        <w:t xml:space="preserve"> shall a</w:t>
      </w:r>
      <w:r w:rsidR="000816AC" w:rsidRPr="000816AC">
        <w:rPr>
          <w:rFonts w:ascii="Calibri" w:hAnsi="Calibri" w:cs="Times New Roman"/>
          <w:color w:val="231F20"/>
          <w:lang w:val="en-US"/>
        </w:rPr>
        <w:t>ttempt, directly or indirectly, to solicit, induce, entice, instruct,</w:t>
      </w:r>
      <w:r>
        <w:rPr>
          <w:rFonts w:ascii="Calibri" w:hAnsi="Calibri" w:cs="Times New Roman"/>
          <w:color w:val="231F20"/>
          <w:lang w:val="en-US"/>
        </w:rPr>
        <w:t xml:space="preserve"> </w:t>
      </w:r>
      <w:r w:rsidR="000816AC" w:rsidRPr="000816AC">
        <w:rPr>
          <w:rFonts w:ascii="Calibri" w:hAnsi="Calibri" w:cs="Times New Roman"/>
          <w:color w:val="231F20"/>
          <w:lang w:val="en-US"/>
        </w:rPr>
        <w:t>persuade, encourage, agree with and/or facilitate any other person to</w:t>
      </w:r>
      <w:r>
        <w:rPr>
          <w:rFonts w:ascii="Calibri" w:hAnsi="Calibri" w:cs="Times New Roman"/>
          <w:color w:val="231F20"/>
          <w:lang w:val="en-US"/>
        </w:rPr>
        <w:t xml:space="preserve"> w</w:t>
      </w:r>
      <w:r w:rsidR="000816AC" w:rsidRPr="000816AC">
        <w:rPr>
          <w:rFonts w:ascii="Calibri" w:hAnsi="Calibri" w:cs="Times New Roman"/>
          <w:color w:val="231F20"/>
          <w:lang w:val="en-US"/>
        </w:rPr>
        <w:t>ager and/or Attempt to Wager on the outcome or any aspect of any</w:t>
      </w:r>
      <w:r>
        <w:rPr>
          <w:rFonts w:ascii="Calibri" w:hAnsi="Calibri" w:cs="Times New Roman"/>
          <w:color w:val="231F20"/>
          <w:lang w:val="en-US"/>
        </w:rPr>
        <w:t xml:space="preserve"> </w:t>
      </w:r>
      <w:r w:rsidR="000816AC" w:rsidRPr="000816AC">
        <w:rPr>
          <w:rFonts w:ascii="Calibri" w:hAnsi="Calibri" w:cs="Times New Roman"/>
          <w:color w:val="231F20"/>
          <w:lang w:val="en-US"/>
        </w:rPr>
        <w:t>Event, subject to 17.3.8 below.</w:t>
      </w:r>
    </w:p>
    <w:p w14:paraId="18765CAA" w14:textId="77777777" w:rsidR="001C136E" w:rsidRDefault="001C136E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5E4E73E5" w14:textId="77777777" w:rsidR="006858A8" w:rsidRPr="000816AC" w:rsidRDefault="006858A8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11902F35" w14:textId="77777777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17.3.2 Corruption Related to Fixing</w:t>
      </w:r>
    </w:p>
    <w:p w14:paraId="1F88CDDE" w14:textId="77777777" w:rsidR="006858A8" w:rsidRPr="000816AC" w:rsidRDefault="006858A8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636FAD76" w14:textId="7777777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No Connected Person shall:</w:t>
      </w:r>
    </w:p>
    <w:p w14:paraId="4E5E8453" w14:textId="7777777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(a) Fix (as defined above) and/or Attempt to Fix.</w:t>
      </w:r>
    </w:p>
    <w:p w14:paraId="124249D1" w14:textId="3C7C195E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(b) Or shall Attempt, directly or indirectly, to solicit, offer, induce, entice,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instruct, persuade, encourage, agree, give, pay for, receive and/or facilitate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 Benefit to Fix and/or Benefit to Attempt to Fix.</w:t>
      </w:r>
    </w:p>
    <w:p w14:paraId="4115D417" w14:textId="3648F05C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(c) For Benefit fail to perform to the best of his abilities (including in the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future) in relation to an Event(s) including any aspect thereof.</w:t>
      </w:r>
    </w:p>
    <w:p w14:paraId="41AC5497" w14:textId="5846AE26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(d) Solicit, offer, induce, entice, instruct, persuade and/or encourage another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Connected Person to fail to perform to the best of their abilities in relation</w:t>
      </w:r>
      <w:r w:rsidR="008F048A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to an Event(s).</w:t>
      </w:r>
    </w:p>
    <w:p w14:paraId="457B2009" w14:textId="77777777" w:rsidR="006858A8" w:rsidRPr="000816AC" w:rsidRDefault="006858A8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0B360B83" w14:textId="77777777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17.3.3 Misuse of Inside Information</w:t>
      </w:r>
    </w:p>
    <w:p w14:paraId="02C10584" w14:textId="77777777" w:rsidR="006858A8" w:rsidRPr="000816AC" w:rsidRDefault="006858A8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33644E39" w14:textId="7777777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No Connected Person shall or shall Attempt directly or indirectly to:</w:t>
      </w:r>
    </w:p>
    <w:p w14:paraId="35E5D7C0" w14:textId="2D7E08BB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 xml:space="preserve">(a) Use Inside Information for the purposes of </w:t>
      </w:r>
      <w:proofErr w:type="gramStart"/>
      <w:r w:rsidRPr="000816AC">
        <w:rPr>
          <w:rFonts w:ascii="Calibri" w:hAnsi="Calibri" w:cs="Times New Roman"/>
          <w:color w:val="231F20"/>
          <w:lang w:val="en-US"/>
        </w:rPr>
        <w:t>Wagering</w:t>
      </w:r>
      <w:proofErr w:type="gramEnd"/>
      <w:r w:rsidRPr="000816AC">
        <w:rPr>
          <w:rFonts w:ascii="Calibri" w:hAnsi="Calibri" w:cs="Times New Roman"/>
          <w:color w:val="231F20"/>
          <w:lang w:val="en-US"/>
        </w:rPr>
        <w:t xml:space="preserve"> whether by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themselves or by or via another person and/or entity;</w:t>
      </w:r>
    </w:p>
    <w:p w14:paraId="6D6F81DB" w14:textId="235D5B2C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(b) Disclose Inside Information to any person (with or without Benefit) before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and/or during an Event where the Connected Person knows and/or may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reasonably be expected to know that disclosure of the Inside Information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could be used in relation to Wagering.</w:t>
      </w:r>
    </w:p>
    <w:p w14:paraId="6DB0D5ED" w14:textId="013D21D3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Note: This Regulation shall not prohibit a disclosure of Inside Information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to the general public at large (for example without limitation, in a live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media interview or in the news section of a Union’s website) such that the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information thereby ceases to be Inside Information nor shall it prohibit a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disclosure of Inside Information to a close personal associate provided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that the Connected Person is aware of and complies with Regulation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6.1.3(b) and where in the circumstances it is reasonable for the Connected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Person to expect that the Inside Information can be disclosed in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confidence and that it will not be used in relation to Wagering. Subject to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the foregoing, this Regulation shall prohibit a disclosure, for example, to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journalists, members of the media, online social network contacts and/or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other persons where the Connected Person knows and/or may reasonably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be expected to know that disclosure of the Inside Information could be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used in relation to Wagering.</w:t>
      </w:r>
    </w:p>
    <w:p w14:paraId="447A4E8C" w14:textId="4515B4CB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(c) Give and/or receive Benefit for the provision of Inside Information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(notwithstanding whether any Inside Information is actually provided).</w:t>
      </w:r>
    </w:p>
    <w:p w14:paraId="6D194172" w14:textId="795033C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(d) Solicit, offer, induce, entice, instruct, persuade, encourage and/or facilitate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the giving and/or receiving of Benefit for the provision of Inside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Information (notwithstanding whether any Inside Information is actually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provided).</w:t>
      </w:r>
    </w:p>
    <w:p w14:paraId="7D32C247" w14:textId="0F502547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(e) Solicit, offer, induce, entice, instruct, persuade, encourage, pay for and/or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facilitate the breach of any of the foregoing provisions of this Regulation</w:t>
      </w:r>
      <w:r w:rsidR="006858A8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17.3.3.</w:t>
      </w:r>
    </w:p>
    <w:p w14:paraId="2A93BEDF" w14:textId="77777777" w:rsidR="008F048A" w:rsidRDefault="008F048A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752AC099" w14:textId="7777777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lang w:val="en-US"/>
        </w:rPr>
      </w:pPr>
      <w:r w:rsidRPr="000816AC">
        <w:rPr>
          <w:rFonts w:ascii="Calibri" w:hAnsi="Calibri" w:cs="Times New Roman"/>
          <w:color w:val="000000"/>
          <w:lang w:val="en-US"/>
        </w:rPr>
        <w:t>17.6 Sanctions</w:t>
      </w:r>
    </w:p>
    <w:p w14:paraId="03236B1E" w14:textId="678C4395" w:rsid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>17.6.1 Where it is determined that an Anti-Corruption Breach has been committed, the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range of sanctions applicable to an Anti-Corruption Breach are set out in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Regulation 17.6 below. The sanctions set out below shall be applied in place of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any recommended sanctions set out in RFU Regulations and the mitigating and</w:t>
      </w:r>
      <w:r w:rsidR="001C136E">
        <w:rPr>
          <w:rFonts w:ascii="Calibri" w:hAnsi="Calibri" w:cs="Times New Roman"/>
          <w:color w:val="231F20"/>
          <w:lang w:val="en-US"/>
        </w:rPr>
        <w:t xml:space="preserve"> </w:t>
      </w:r>
      <w:r w:rsidRPr="000816AC">
        <w:rPr>
          <w:rFonts w:ascii="Calibri" w:hAnsi="Calibri" w:cs="Times New Roman"/>
          <w:color w:val="231F20"/>
          <w:lang w:val="en-US"/>
        </w:rPr>
        <w:t>aggravating factors set out in IRB Regulation 6 shall apply.</w:t>
      </w:r>
    </w:p>
    <w:p w14:paraId="04AC7EF3" w14:textId="77777777" w:rsidR="001C136E" w:rsidRPr="000816AC" w:rsidRDefault="001C136E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</w:p>
    <w:p w14:paraId="00D10C0F" w14:textId="77777777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0816AC">
        <w:rPr>
          <w:rFonts w:ascii="Calibri" w:hAnsi="Calibri" w:cs="Times New Roman"/>
          <w:color w:val="231F20"/>
          <w:lang w:val="en-US"/>
        </w:rPr>
        <w:t xml:space="preserve">17.6.2 </w:t>
      </w:r>
      <w:proofErr w:type="gramStart"/>
      <w:r w:rsidRPr="000816AC">
        <w:rPr>
          <w:rFonts w:ascii="Calibri" w:hAnsi="Calibri" w:cs="Times New Roman"/>
          <w:color w:val="231F20"/>
          <w:lang w:val="en-US"/>
        </w:rPr>
        <w:t>The</w:t>
      </w:r>
      <w:proofErr w:type="gramEnd"/>
      <w:r w:rsidRPr="000816AC">
        <w:rPr>
          <w:rFonts w:ascii="Calibri" w:hAnsi="Calibri" w:cs="Times New Roman"/>
          <w:color w:val="231F20"/>
          <w:lang w:val="en-US"/>
        </w:rPr>
        <w:t xml:space="preserve"> range of sanctions applicable to an Anti-Corruption Breach is set out</w:t>
      </w:r>
    </w:p>
    <w:p w14:paraId="6EC84ABB" w14:textId="002F0D8F" w:rsidR="000816AC" w:rsidRPr="000816AC" w:rsidRDefault="000816AC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proofErr w:type="gramStart"/>
      <w:r w:rsidRPr="000816AC">
        <w:rPr>
          <w:rFonts w:ascii="Calibri" w:hAnsi="Calibri" w:cs="Times New Roman"/>
          <w:color w:val="231F20"/>
          <w:lang w:val="en-US"/>
        </w:rPr>
        <w:t>hereunder</w:t>
      </w:r>
      <w:proofErr w:type="gramEnd"/>
      <w:r w:rsidRPr="000816AC">
        <w:rPr>
          <w:rFonts w:ascii="Calibri" w:hAnsi="Calibri" w:cs="Times New Roman"/>
          <w:color w:val="231F20"/>
          <w:lang w:val="en-US"/>
        </w:rPr>
        <w:t>.</w:t>
      </w:r>
    </w:p>
    <w:p w14:paraId="14E7CA03" w14:textId="2827D1E3" w:rsidR="000816AC" w:rsidRPr="000816AC" w:rsidRDefault="008F048A" w:rsidP="00267871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231F20"/>
          <w:lang w:val="en-US"/>
        </w:rPr>
      </w:pPr>
      <w:r w:rsidRPr="008F048A">
        <w:rPr>
          <w:rFonts w:ascii="Calibri" w:hAnsi="Calibri" w:cs="Times New Roman"/>
          <w:color w:val="231F20"/>
          <w:lang w:val="en-US"/>
        </w:rPr>
        <w:drawing>
          <wp:anchor distT="0" distB="0" distL="114300" distR="114300" simplePos="0" relativeHeight="251658240" behindDoc="1" locked="0" layoutInCell="1" allowOverlap="1" wp14:anchorId="4510FA51" wp14:editId="46596C4E">
            <wp:simplePos x="0" y="0"/>
            <wp:positionH relativeFrom="column">
              <wp:posOffset>114300</wp:posOffset>
            </wp:positionH>
            <wp:positionV relativeFrom="paragraph">
              <wp:posOffset>104775</wp:posOffset>
            </wp:positionV>
            <wp:extent cx="5143500" cy="3554730"/>
            <wp:effectExtent l="0" t="0" r="1270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32CF1" w14:textId="4AE34C05" w:rsidR="007411CD" w:rsidRPr="000816AC" w:rsidRDefault="007411CD" w:rsidP="00267871">
      <w:pPr>
        <w:jc w:val="both"/>
        <w:rPr>
          <w:rFonts w:ascii="Calibri" w:hAnsi="Calibri"/>
        </w:rPr>
      </w:pPr>
      <w:bookmarkStart w:id="0" w:name="_GoBack"/>
      <w:bookmarkEnd w:id="0"/>
    </w:p>
    <w:sectPr w:rsidR="007411CD" w:rsidRPr="000816AC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374A"/>
    <w:multiLevelType w:val="hybridMultilevel"/>
    <w:tmpl w:val="02C0F7A0"/>
    <w:lvl w:ilvl="0" w:tplc="F8125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0666F"/>
    <w:multiLevelType w:val="hybridMultilevel"/>
    <w:tmpl w:val="2C2864D6"/>
    <w:lvl w:ilvl="0" w:tplc="4F585722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06D4"/>
    <w:multiLevelType w:val="hybridMultilevel"/>
    <w:tmpl w:val="CF4ADE08"/>
    <w:lvl w:ilvl="0" w:tplc="CDC22B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38"/>
    <w:rsid w:val="000816AC"/>
    <w:rsid w:val="001C136E"/>
    <w:rsid w:val="00267871"/>
    <w:rsid w:val="002A6390"/>
    <w:rsid w:val="00436184"/>
    <w:rsid w:val="004D22FA"/>
    <w:rsid w:val="005C4053"/>
    <w:rsid w:val="005D5B0A"/>
    <w:rsid w:val="006858A8"/>
    <w:rsid w:val="00690967"/>
    <w:rsid w:val="00693BAE"/>
    <w:rsid w:val="007411CD"/>
    <w:rsid w:val="008F048A"/>
    <w:rsid w:val="00E30B29"/>
    <w:rsid w:val="00F57138"/>
    <w:rsid w:val="00F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AAF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6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1131</Words>
  <Characters>6452</Characters>
  <Application>Microsoft Macintosh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4</cp:revision>
  <dcterms:created xsi:type="dcterms:W3CDTF">2013-08-22T14:40:00Z</dcterms:created>
  <dcterms:modified xsi:type="dcterms:W3CDTF">2013-09-05T10:30:00Z</dcterms:modified>
</cp:coreProperties>
</file>